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31" w:rsidRPr="00682031" w:rsidRDefault="00682031" w:rsidP="00682031">
      <w:pPr>
        <w:pStyle w:val="20"/>
        <w:jc w:val="center"/>
        <w:rPr>
          <w:rFonts w:ascii="华文中宋" w:eastAsia="华文中宋" w:hAnsi="华文中宋"/>
          <w:sz w:val="36"/>
          <w:szCs w:val="36"/>
        </w:rPr>
      </w:pPr>
      <w:r w:rsidRPr="00682031">
        <w:rPr>
          <w:rFonts w:ascii="华文中宋" w:eastAsia="华文中宋" w:hAnsi="华文中宋" w:hint="eastAsia"/>
          <w:sz w:val="36"/>
          <w:szCs w:val="36"/>
        </w:rPr>
        <w:t>上海外国语大学校外车辆预约系统</w:t>
      </w:r>
      <w:r w:rsidR="00DA2F3C">
        <w:rPr>
          <w:rFonts w:ascii="华文中宋" w:eastAsia="华文中宋" w:hAnsi="华文中宋" w:hint="eastAsia"/>
          <w:sz w:val="36"/>
          <w:szCs w:val="36"/>
        </w:rPr>
        <w:t>项目</w:t>
      </w:r>
      <w:bookmarkStart w:id="0" w:name="_GoBack"/>
      <w:bookmarkEnd w:id="0"/>
      <w:r w:rsidR="009D5A59">
        <w:rPr>
          <w:rFonts w:ascii="华文中宋" w:eastAsia="华文中宋" w:hAnsi="华文中宋" w:hint="eastAsia"/>
          <w:sz w:val="36"/>
          <w:szCs w:val="36"/>
        </w:rPr>
        <w:t>需求</w:t>
      </w:r>
    </w:p>
    <w:p w:rsidR="00682031" w:rsidRDefault="00682031" w:rsidP="00682031">
      <w:pPr>
        <w:pStyle w:val="20"/>
      </w:pPr>
    </w:p>
    <w:p w:rsidR="00682031" w:rsidRPr="009B7C3D" w:rsidRDefault="00682031" w:rsidP="00682031">
      <w:pPr>
        <w:pStyle w:val="20"/>
        <w:ind w:firstLineChars="200" w:firstLine="562"/>
        <w:rPr>
          <w:rFonts w:ascii="仿宋" w:eastAsia="仿宋" w:hAnsi="仿宋"/>
          <w:b/>
          <w:sz w:val="28"/>
          <w:szCs w:val="28"/>
        </w:rPr>
      </w:pPr>
      <w:r w:rsidRPr="009B7C3D">
        <w:rPr>
          <w:rFonts w:ascii="仿宋" w:eastAsia="仿宋" w:hAnsi="仿宋" w:hint="eastAsia"/>
          <w:b/>
          <w:sz w:val="28"/>
          <w:szCs w:val="28"/>
        </w:rPr>
        <w:t>一、项目基本信息</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1.项目名称：上海外国语大学校外车辆预约系统</w:t>
      </w:r>
    </w:p>
    <w:p w:rsidR="00682031" w:rsidRPr="009B7C3D" w:rsidRDefault="009B7C3D" w:rsidP="00682031">
      <w:pPr>
        <w:pStyle w:val="20"/>
        <w:ind w:firstLineChars="200" w:firstLine="560"/>
        <w:rPr>
          <w:rFonts w:ascii="仿宋" w:eastAsia="仿宋" w:hAnsi="仿宋"/>
          <w:sz w:val="28"/>
          <w:szCs w:val="28"/>
        </w:rPr>
      </w:pPr>
      <w:r>
        <w:rPr>
          <w:rFonts w:ascii="仿宋" w:eastAsia="仿宋" w:hAnsi="仿宋"/>
          <w:sz w:val="28"/>
          <w:szCs w:val="28"/>
        </w:rPr>
        <w:t>2</w:t>
      </w:r>
      <w:r w:rsidR="00682031" w:rsidRPr="009B7C3D">
        <w:rPr>
          <w:rFonts w:ascii="仿宋" w:eastAsia="仿宋" w:hAnsi="仿宋" w:hint="eastAsia"/>
          <w:sz w:val="28"/>
          <w:szCs w:val="28"/>
        </w:rPr>
        <w:t>.系统部署要求：</w:t>
      </w:r>
      <w:r>
        <w:rPr>
          <w:rFonts w:ascii="仿宋" w:eastAsia="仿宋" w:hAnsi="仿宋" w:hint="eastAsia"/>
          <w:sz w:val="28"/>
          <w:szCs w:val="28"/>
        </w:rPr>
        <w:t>系统本地化部署在</w:t>
      </w:r>
      <w:r w:rsidR="001844DB">
        <w:rPr>
          <w:rFonts w:ascii="仿宋" w:eastAsia="仿宋" w:hAnsi="仿宋" w:hint="eastAsia"/>
          <w:sz w:val="28"/>
          <w:szCs w:val="28"/>
        </w:rPr>
        <w:t>图文J104机房，</w:t>
      </w:r>
      <w:r>
        <w:rPr>
          <w:rFonts w:ascii="仿宋" w:eastAsia="仿宋" w:hAnsi="仿宋" w:hint="eastAsia"/>
          <w:sz w:val="28"/>
          <w:szCs w:val="28"/>
        </w:rPr>
        <w:t>监控中心的车辆管理服务中</w:t>
      </w:r>
      <w:r w:rsidR="00682031" w:rsidRPr="009B7C3D">
        <w:rPr>
          <w:rFonts w:ascii="仿宋" w:eastAsia="仿宋" w:hAnsi="仿宋" w:hint="eastAsia"/>
          <w:sz w:val="28"/>
          <w:szCs w:val="28"/>
        </w:rPr>
        <w:t>，确保数据安全与系统稳定运行，满足学校信息安全管理规范</w:t>
      </w:r>
      <w:r w:rsidR="001844DB">
        <w:rPr>
          <w:rFonts w:ascii="仿宋" w:eastAsia="仿宋" w:hAnsi="仿宋" w:hint="eastAsia"/>
          <w:sz w:val="28"/>
          <w:szCs w:val="28"/>
        </w:rPr>
        <w:t>。</w:t>
      </w:r>
    </w:p>
    <w:p w:rsidR="00682031" w:rsidRPr="009B7C3D" w:rsidRDefault="009B7C3D" w:rsidP="00682031">
      <w:pPr>
        <w:pStyle w:val="20"/>
        <w:ind w:firstLineChars="200" w:firstLine="560"/>
        <w:rPr>
          <w:rFonts w:ascii="仿宋" w:eastAsia="仿宋" w:hAnsi="仿宋"/>
          <w:sz w:val="28"/>
          <w:szCs w:val="28"/>
        </w:rPr>
      </w:pPr>
      <w:r>
        <w:rPr>
          <w:rFonts w:ascii="仿宋" w:eastAsia="仿宋" w:hAnsi="仿宋"/>
          <w:sz w:val="28"/>
          <w:szCs w:val="28"/>
        </w:rPr>
        <w:t>3</w:t>
      </w:r>
      <w:r w:rsidR="00682031" w:rsidRPr="009B7C3D">
        <w:rPr>
          <w:rFonts w:ascii="仿宋" w:eastAsia="仿宋" w:hAnsi="仿宋" w:hint="eastAsia"/>
          <w:sz w:val="28"/>
          <w:szCs w:val="28"/>
        </w:rPr>
        <w:t>.项目周期：自合同签订之日起1个月内完成系统开发、测试、上线及人员培训工作</w:t>
      </w:r>
    </w:p>
    <w:p w:rsidR="001844DB" w:rsidRPr="001844DB" w:rsidRDefault="001844DB" w:rsidP="00682031">
      <w:pPr>
        <w:pStyle w:val="20"/>
        <w:ind w:firstLineChars="200" w:firstLine="560"/>
        <w:rPr>
          <w:rFonts w:ascii="仿宋" w:eastAsia="仿宋" w:hAnsi="仿宋"/>
          <w:sz w:val="28"/>
          <w:szCs w:val="28"/>
        </w:rPr>
      </w:pPr>
      <w:r w:rsidRPr="001844DB">
        <w:rPr>
          <w:rFonts w:ascii="仿宋" w:eastAsia="仿宋" w:hAnsi="仿宋" w:hint="eastAsia"/>
          <w:sz w:val="28"/>
          <w:szCs w:val="28"/>
        </w:rPr>
        <w:t>4</w:t>
      </w:r>
      <w:r w:rsidRPr="001844DB">
        <w:rPr>
          <w:rFonts w:ascii="仿宋" w:eastAsia="仿宋" w:hAnsi="仿宋"/>
          <w:sz w:val="28"/>
          <w:szCs w:val="28"/>
        </w:rPr>
        <w:t>.</w:t>
      </w:r>
      <w:r w:rsidRPr="001844DB">
        <w:rPr>
          <w:rFonts w:ascii="仿宋" w:eastAsia="仿宋" w:hAnsi="仿宋" w:hint="eastAsia"/>
          <w:sz w:val="28"/>
          <w:szCs w:val="28"/>
        </w:rPr>
        <w:t>预算费用：</w:t>
      </w:r>
      <w:r>
        <w:rPr>
          <w:rFonts w:ascii="仿宋" w:eastAsia="仿宋" w:hAnsi="仿宋"/>
          <w:sz w:val="28"/>
          <w:szCs w:val="28"/>
        </w:rPr>
        <w:t>4.8</w:t>
      </w:r>
      <w:r w:rsidRPr="001844DB">
        <w:rPr>
          <w:rFonts w:ascii="仿宋" w:eastAsia="仿宋" w:hAnsi="仿宋" w:hint="eastAsia"/>
          <w:sz w:val="28"/>
          <w:szCs w:val="28"/>
        </w:rPr>
        <w:t>万元</w:t>
      </w:r>
      <w:r>
        <w:rPr>
          <w:rFonts w:ascii="仿宋" w:eastAsia="仿宋" w:hAnsi="仿宋" w:hint="eastAsia"/>
          <w:sz w:val="28"/>
          <w:szCs w:val="28"/>
        </w:rPr>
        <w:t>。</w:t>
      </w:r>
    </w:p>
    <w:p w:rsidR="00682031" w:rsidRPr="009B7C3D" w:rsidRDefault="00682031" w:rsidP="00682031">
      <w:pPr>
        <w:pStyle w:val="20"/>
        <w:ind w:firstLineChars="200" w:firstLine="562"/>
        <w:rPr>
          <w:rFonts w:ascii="仿宋" w:eastAsia="仿宋" w:hAnsi="仿宋"/>
          <w:b/>
          <w:sz w:val="28"/>
          <w:szCs w:val="28"/>
        </w:rPr>
      </w:pPr>
      <w:r w:rsidRPr="009B7C3D">
        <w:rPr>
          <w:rFonts w:ascii="仿宋" w:eastAsia="仿宋" w:hAnsi="仿宋" w:hint="eastAsia"/>
          <w:b/>
          <w:sz w:val="28"/>
          <w:szCs w:val="28"/>
        </w:rPr>
        <w:t>二、功能需求</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（一）统一身份认证对接</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1.认证接口对接：通过接口调用，获取校内用户信息及组织架构信息，为后续用户权限设置及车辆管理提供数据支持。</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2.用户权限设置：针对各二级院系单位设置审批人员信息权限。明确不同审批人员的审批范围与操作权限，确保审批工作的准确性与规范性。</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（二）车辆预约申请端（H5移动端，申请入口可设置在学校公众号）</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1.预约信息填写车辆基础信息：访客需填写车牌号、车主姓名、联系电话、证件号、单位等信息。被访信息：选择被访部门，填写被访人姓名、电话。系统将对被访人姓名、工号与后台数据进行匹配，匹配成功后方可提交申请。</w:t>
      </w:r>
    </w:p>
    <w:p w:rsidR="00682031" w:rsidRPr="009B7C3D" w:rsidRDefault="001844DB" w:rsidP="00682031">
      <w:pPr>
        <w:pStyle w:val="20"/>
        <w:ind w:firstLineChars="200" w:firstLine="560"/>
        <w:rPr>
          <w:rFonts w:ascii="仿宋" w:eastAsia="仿宋" w:hAnsi="仿宋"/>
          <w:sz w:val="28"/>
          <w:szCs w:val="28"/>
        </w:rPr>
      </w:pPr>
      <w:r>
        <w:rPr>
          <w:rFonts w:ascii="仿宋" w:eastAsia="仿宋" w:hAnsi="仿宋"/>
          <w:sz w:val="28"/>
          <w:szCs w:val="28"/>
        </w:rPr>
        <w:t>2</w:t>
      </w:r>
      <w:r w:rsidR="00682031" w:rsidRPr="009B7C3D">
        <w:rPr>
          <w:rFonts w:ascii="仿宋" w:eastAsia="仿宋" w:hAnsi="仿宋" w:hint="eastAsia"/>
          <w:sz w:val="28"/>
          <w:szCs w:val="28"/>
        </w:rPr>
        <w:t>.审批结果查询：访客可在申请端查询提交的车辆通行预约审批结果，及时了解申请是否通过。</w:t>
      </w:r>
    </w:p>
    <w:p w:rsidR="00682031" w:rsidRPr="009B7C3D" w:rsidRDefault="001844DB" w:rsidP="00682031">
      <w:pPr>
        <w:pStyle w:val="20"/>
        <w:ind w:firstLineChars="200" w:firstLine="560"/>
        <w:rPr>
          <w:rFonts w:ascii="仿宋" w:eastAsia="仿宋" w:hAnsi="仿宋"/>
          <w:sz w:val="28"/>
          <w:szCs w:val="28"/>
        </w:rPr>
      </w:pPr>
      <w:r>
        <w:rPr>
          <w:rFonts w:ascii="仿宋" w:eastAsia="仿宋" w:hAnsi="仿宋"/>
          <w:sz w:val="28"/>
          <w:szCs w:val="28"/>
        </w:rPr>
        <w:t>3</w:t>
      </w:r>
      <w:r w:rsidR="00682031" w:rsidRPr="009B7C3D">
        <w:rPr>
          <w:rFonts w:ascii="仿宋" w:eastAsia="仿宋" w:hAnsi="仿宋" w:hint="eastAsia"/>
          <w:sz w:val="28"/>
          <w:szCs w:val="28"/>
        </w:rPr>
        <w:t>.访客申请推送：访客提交申请后，系统自动发送短信提醒被访人，告知有车辆预约来访。</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（三）审批端（H5移动端，审核入口可设置在学校公众号）</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lastRenderedPageBreak/>
        <w:t>1.审批记录查询：可查询车辆预约审批历史记录，并进行统计分析，便于审批人员了解审批工作情况。</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2.审批：对车辆通行进行在线审批。</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3.权限下发：将审批通过后的车辆信息同步下发至指定校区，确保车辆按规定进出校园。</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4.审批端推送：审核结果以短信形式推送给访客，方便访客知晓。</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（四）管理后端（Web平台端）</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1.预约记录统计：管理端针对预约车辆申请数据及通行数据进行后台报表统计分析，为校园停车管理提供数据依据。</w:t>
      </w:r>
    </w:p>
    <w:p w:rsidR="00682031"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2.门岗开闸及提示：门岗LED屏提示预约车辆信息，可通过门岗软件设置预约车辆自动开闸，实现车辆快速通行。</w:t>
      </w:r>
    </w:p>
    <w:p w:rsidR="009B7C3D" w:rsidRPr="009B7C3D" w:rsidRDefault="00682031" w:rsidP="00682031">
      <w:pPr>
        <w:pStyle w:val="20"/>
        <w:ind w:firstLineChars="200" w:firstLine="560"/>
        <w:rPr>
          <w:rFonts w:ascii="仿宋" w:eastAsia="仿宋" w:hAnsi="仿宋"/>
          <w:sz w:val="28"/>
          <w:szCs w:val="28"/>
        </w:rPr>
      </w:pPr>
      <w:r w:rsidRPr="009B7C3D">
        <w:rPr>
          <w:rFonts w:ascii="仿宋" w:eastAsia="仿宋" w:hAnsi="仿宋" w:hint="eastAsia"/>
          <w:sz w:val="28"/>
          <w:szCs w:val="28"/>
        </w:rPr>
        <w:t>3.通行时间：可在平台设置预约车辆在申请的时间段内通行或时间段内单次进出场通行，灵活控制车辆通行时间，保障校园停车秩序。包含评分标准。</w:t>
      </w:r>
    </w:p>
    <w:p w:rsidR="00682031" w:rsidRPr="009B7C3D" w:rsidRDefault="009B7C3D" w:rsidP="00682031">
      <w:pPr>
        <w:pStyle w:val="20"/>
        <w:ind w:firstLineChars="200" w:firstLine="562"/>
        <w:rPr>
          <w:rFonts w:ascii="仿宋" w:eastAsia="仿宋" w:hAnsi="仿宋"/>
          <w:b/>
          <w:sz w:val="28"/>
          <w:szCs w:val="28"/>
        </w:rPr>
      </w:pPr>
      <w:r w:rsidRPr="009B7C3D">
        <w:rPr>
          <w:rFonts w:ascii="仿宋" w:eastAsia="仿宋" w:hAnsi="仿宋" w:hint="eastAsia"/>
          <w:b/>
          <w:sz w:val="28"/>
          <w:szCs w:val="28"/>
        </w:rPr>
        <w:t>三</w:t>
      </w:r>
      <w:r w:rsidR="00682031" w:rsidRPr="009B7C3D">
        <w:rPr>
          <w:rFonts w:ascii="仿宋" w:eastAsia="仿宋" w:hAnsi="仿宋" w:hint="eastAsia"/>
          <w:b/>
          <w:sz w:val="28"/>
          <w:szCs w:val="28"/>
        </w:rPr>
        <w:t>、评分标准</w:t>
      </w:r>
    </w:p>
    <w:p w:rsidR="003D6EB1" w:rsidRPr="009B7C3D" w:rsidRDefault="009D5A59">
      <w:pPr>
        <w:pStyle w:val="20"/>
        <w:rPr>
          <w:rFonts w:ascii="仿宋" w:eastAsia="仿宋" w:hAnsi="仿宋"/>
          <w:sz w:val="24"/>
          <w:szCs w:val="24"/>
        </w:rPr>
      </w:pPr>
      <w:r w:rsidRPr="009B7C3D">
        <w:rPr>
          <w:rFonts w:ascii="仿宋" w:eastAsia="仿宋" w:hAnsi="仿宋"/>
          <w:sz w:val="24"/>
          <w:szCs w:val="24"/>
        </w:rPr>
        <w:t>本项目采用综合评分法，总分 100 分，评分维度及权重如下：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76"/>
        <w:gridCol w:w="960"/>
        <w:gridCol w:w="6113"/>
      </w:tblGrid>
      <w:tr w:rsidR="00BC0128" w:rsidRPr="009B7C3D" w:rsidTr="009B7C3D">
        <w:tc>
          <w:tcPr>
            <w:tcW w:w="1276" w:type="dxa"/>
            <w:tcMar>
              <w:top w:w="60" w:type="dxa"/>
              <w:left w:w="120" w:type="dxa"/>
              <w:bottom w:w="30" w:type="dxa"/>
              <w:right w:w="120" w:type="dxa"/>
            </w:tcMar>
          </w:tcPr>
          <w:p w:rsidR="003D6EB1" w:rsidRPr="009B7C3D" w:rsidRDefault="009D5A59" w:rsidP="009B7C3D">
            <w:pPr>
              <w:pStyle w:val="20"/>
              <w:jc w:val="center"/>
              <w:rPr>
                <w:rFonts w:ascii="仿宋" w:eastAsia="仿宋" w:hAnsi="仿宋"/>
                <w:sz w:val="24"/>
                <w:szCs w:val="24"/>
              </w:rPr>
            </w:pPr>
            <w:r w:rsidRPr="009B7C3D">
              <w:rPr>
                <w:rFonts w:ascii="仿宋" w:eastAsia="仿宋" w:hAnsi="仿宋"/>
                <w:sz w:val="24"/>
                <w:szCs w:val="24"/>
              </w:rPr>
              <w:t>评分维度</w:t>
            </w:r>
          </w:p>
        </w:tc>
        <w:tc>
          <w:tcPr>
            <w:tcW w:w="960" w:type="dxa"/>
            <w:tcMar>
              <w:top w:w="60" w:type="dxa"/>
              <w:left w:w="120" w:type="dxa"/>
              <w:bottom w:w="30" w:type="dxa"/>
              <w:right w:w="120" w:type="dxa"/>
            </w:tcMar>
          </w:tcPr>
          <w:p w:rsidR="003D6EB1" w:rsidRPr="009B7C3D" w:rsidRDefault="009D5A59" w:rsidP="009B7C3D">
            <w:pPr>
              <w:pStyle w:val="20"/>
              <w:jc w:val="center"/>
              <w:rPr>
                <w:rFonts w:ascii="仿宋" w:eastAsia="仿宋" w:hAnsi="仿宋"/>
                <w:sz w:val="24"/>
                <w:szCs w:val="24"/>
              </w:rPr>
            </w:pPr>
            <w:r w:rsidRPr="009B7C3D">
              <w:rPr>
                <w:rFonts w:ascii="仿宋" w:eastAsia="仿宋" w:hAnsi="仿宋"/>
                <w:sz w:val="24"/>
                <w:szCs w:val="24"/>
              </w:rPr>
              <w:t>权重（分）</w:t>
            </w:r>
          </w:p>
        </w:tc>
        <w:tc>
          <w:tcPr>
            <w:tcW w:w="6113" w:type="dxa"/>
            <w:tcMar>
              <w:top w:w="60" w:type="dxa"/>
              <w:left w:w="120" w:type="dxa"/>
              <w:bottom w:w="30" w:type="dxa"/>
              <w:right w:w="120" w:type="dxa"/>
            </w:tcMar>
          </w:tcPr>
          <w:p w:rsidR="003D6EB1" w:rsidRPr="009B7C3D" w:rsidRDefault="009D5A59" w:rsidP="009B7C3D">
            <w:pPr>
              <w:pStyle w:val="20"/>
              <w:jc w:val="center"/>
              <w:rPr>
                <w:rFonts w:ascii="仿宋" w:eastAsia="仿宋" w:hAnsi="仿宋"/>
                <w:sz w:val="24"/>
                <w:szCs w:val="24"/>
              </w:rPr>
            </w:pPr>
            <w:r w:rsidRPr="009B7C3D">
              <w:rPr>
                <w:rFonts w:ascii="仿宋" w:eastAsia="仿宋" w:hAnsi="仿宋"/>
                <w:sz w:val="24"/>
                <w:szCs w:val="24"/>
              </w:rPr>
              <w:t>评分细则</w:t>
            </w:r>
          </w:p>
        </w:tc>
      </w:tr>
      <w:tr w:rsidR="00BC0128" w:rsidRPr="009B7C3D" w:rsidTr="009B7C3D">
        <w:tc>
          <w:tcPr>
            <w:tcW w:w="1276" w:type="dxa"/>
            <w:tcMar>
              <w:top w:w="60" w:type="dxa"/>
              <w:left w:w="120" w:type="dxa"/>
              <w:bottom w:w="30" w:type="dxa"/>
              <w:right w:w="120" w:type="dxa"/>
            </w:tcMar>
          </w:tcPr>
          <w:p w:rsidR="003D6EB1" w:rsidRPr="009B7C3D" w:rsidRDefault="009D5A59">
            <w:pPr>
              <w:pStyle w:val="20"/>
              <w:rPr>
                <w:rFonts w:ascii="仿宋" w:eastAsia="仿宋" w:hAnsi="仿宋"/>
                <w:sz w:val="24"/>
                <w:szCs w:val="24"/>
              </w:rPr>
            </w:pPr>
            <w:r w:rsidRPr="009B7C3D">
              <w:rPr>
                <w:rFonts w:ascii="仿宋" w:eastAsia="仿宋" w:hAnsi="仿宋"/>
                <w:sz w:val="24"/>
                <w:szCs w:val="24"/>
              </w:rPr>
              <w:t>技术方案</w:t>
            </w:r>
          </w:p>
        </w:tc>
        <w:tc>
          <w:tcPr>
            <w:tcW w:w="960" w:type="dxa"/>
            <w:tcMar>
              <w:top w:w="60" w:type="dxa"/>
              <w:left w:w="120" w:type="dxa"/>
              <w:bottom w:w="30" w:type="dxa"/>
              <w:right w:w="120" w:type="dxa"/>
            </w:tcMar>
          </w:tcPr>
          <w:p w:rsidR="003D6EB1" w:rsidRPr="009B7C3D" w:rsidRDefault="009D5A59">
            <w:pPr>
              <w:pStyle w:val="20"/>
              <w:rPr>
                <w:rFonts w:ascii="仿宋" w:eastAsia="仿宋" w:hAnsi="仿宋"/>
                <w:sz w:val="24"/>
                <w:szCs w:val="24"/>
              </w:rPr>
            </w:pPr>
            <w:r w:rsidRPr="009B7C3D">
              <w:rPr>
                <w:rFonts w:ascii="仿宋" w:eastAsia="仿宋" w:hAnsi="仿宋"/>
                <w:sz w:val="24"/>
                <w:szCs w:val="24"/>
              </w:rPr>
              <w:t>35</w:t>
            </w:r>
          </w:p>
        </w:tc>
        <w:tc>
          <w:tcPr>
            <w:tcW w:w="6113" w:type="dxa"/>
            <w:tcMar>
              <w:top w:w="60" w:type="dxa"/>
              <w:left w:w="120" w:type="dxa"/>
              <w:bottom w:w="30" w:type="dxa"/>
              <w:right w:w="120" w:type="dxa"/>
            </w:tcMar>
          </w:tcPr>
          <w:p w:rsidR="003D6EB1" w:rsidRPr="009B7C3D" w:rsidRDefault="009D5A59" w:rsidP="00682031">
            <w:pPr>
              <w:pStyle w:val="20"/>
              <w:rPr>
                <w:rFonts w:ascii="仿宋" w:eastAsia="仿宋" w:hAnsi="仿宋"/>
                <w:sz w:val="24"/>
                <w:szCs w:val="24"/>
              </w:rPr>
            </w:pPr>
            <w:r w:rsidRPr="009B7C3D">
              <w:rPr>
                <w:rFonts w:ascii="仿宋" w:eastAsia="仿宋" w:hAnsi="仿宋"/>
                <w:sz w:val="24"/>
                <w:szCs w:val="24"/>
              </w:rPr>
              <w:t>1. 系统架构设计（10 分）：架构清晰、合理，具备扩展性与安全性，符合项目需求得 8 - 10 分；架构基本合理，但扩展性一般得 5 - 7 分；架构存在明显缺陷得 0 - 4 分。2. 功能实现方案（15 分）：完全覆盖核心功能需求，方案详细、可行，有创新点得 12 - 15 分；基本覆盖核心功能需求，方案可行但无创新得 8 - 11 分；功能覆盖不全或方案可行性差得 0 - 7 分。3. 非功能需求保障方案（10 分）：性能、数据安全、兼容性等非功能需求的保障措施具体、有效，有实际案例支撑得 8 - 10 分；保障措施基本合理，但缺乏案例支撑得 5 - 7 分；保障措施不足得 0 - 4 分。</w:t>
            </w:r>
          </w:p>
        </w:tc>
      </w:tr>
      <w:tr w:rsidR="00BC0128" w:rsidRPr="009B7C3D" w:rsidTr="009B7C3D">
        <w:tc>
          <w:tcPr>
            <w:tcW w:w="1276" w:type="dxa"/>
            <w:tcMar>
              <w:top w:w="60" w:type="dxa"/>
              <w:left w:w="120" w:type="dxa"/>
              <w:bottom w:w="30" w:type="dxa"/>
              <w:right w:w="120" w:type="dxa"/>
            </w:tcMar>
          </w:tcPr>
          <w:p w:rsidR="003D6EB1" w:rsidRPr="009B7C3D" w:rsidRDefault="009D5A59">
            <w:pPr>
              <w:pStyle w:val="20"/>
              <w:rPr>
                <w:rFonts w:ascii="仿宋" w:eastAsia="仿宋" w:hAnsi="仿宋"/>
                <w:sz w:val="24"/>
                <w:szCs w:val="24"/>
              </w:rPr>
            </w:pPr>
            <w:r w:rsidRPr="009B7C3D">
              <w:rPr>
                <w:rFonts w:ascii="仿宋" w:eastAsia="仿宋" w:hAnsi="仿宋"/>
                <w:sz w:val="24"/>
                <w:szCs w:val="24"/>
              </w:rPr>
              <w:lastRenderedPageBreak/>
              <w:t>团队实力</w:t>
            </w:r>
          </w:p>
        </w:tc>
        <w:tc>
          <w:tcPr>
            <w:tcW w:w="960" w:type="dxa"/>
            <w:tcMar>
              <w:top w:w="60" w:type="dxa"/>
              <w:left w:w="120" w:type="dxa"/>
              <w:bottom w:w="30" w:type="dxa"/>
              <w:right w:w="120" w:type="dxa"/>
            </w:tcMar>
          </w:tcPr>
          <w:p w:rsidR="003D6EB1" w:rsidRPr="009B7C3D" w:rsidRDefault="00682031">
            <w:pPr>
              <w:pStyle w:val="20"/>
              <w:rPr>
                <w:rFonts w:ascii="仿宋" w:eastAsia="仿宋" w:hAnsi="仿宋"/>
                <w:sz w:val="24"/>
                <w:szCs w:val="24"/>
              </w:rPr>
            </w:pPr>
            <w:r w:rsidRPr="009B7C3D">
              <w:rPr>
                <w:rFonts w:ascii="仿宋" w:eastAsia="仿宋" w:hAnsi="仿宋"/>
                <w:sz w:val="24"/>
                <w:szCs w:val="24"/>
              </w:rPr>
              <w:t>1</w:t>
            </w:r>
            <w:r w:rsidR="009D5A59" w:rsidRPr="009B7C3D">
              <w:rPr>
                <w:rFonts w:ascii="仿宋" w:eastAsia="仿宋" w:hAnsi="仿宋"/>
                <w:sz w:val="24"/>
                <w:szCs w:val="24"/>
              </w:rPr>
              <w:t>5</w:t>
            </w:r>
          </w:p>
        </w:tc>
        <w:tc>
          <w:tcPr>
            <w:tcW w:w="6113" w:type="dxa"/>
            <w:tcMar>
              <w:top w:w="60" w:type="dxa"/>
              <w:left w:w="120" w:type="dxa"/>
              <w:bottom w:w="30" w:type="dxa"/>
              <w:right w:w="120" w:type="dxa"/>
            </w:tcMar>
          </w:tcPr>
          <w:p w:rsidR="003D6EB1" w:rsidRPr="009B7C3D" w:rsidRDefault="009D5A59" w:rsidP="009B7C3D">
            <w:pPr>
              <w:pStyle w:val="20"/>
              <w:rPr>
                <w:rFonts w:ascii="仿宋" w:eastAsia="仿宋" w:hAnsi="仿宋"/>
                <w:sz w:val="24"/>
                <w:szCs w:val="24"/>
              </w:rPr>
            </w:pPr>
            <w:r w:rsidRPr="009B7C3D">
              <w:rPr>
                <w:rFonts w:ascii="仿宋" w:eastAsia="仿宋" w:hAnsi="仿宋"/>
                <w:sz w:val="24"/>
                <w:szCs w:val="24"/>
              </w:rPr>
              <w:t>1. 项目负责人（10 分）：具备 5 年以上校园</w:t>
            </w:r>
            <w:r w:rsidR="009B7C3D">
              <w:rPr>
                <w:rFonts w:ascii="仿宋" w:eastAsia="仿宋" w:hAnsi="仿宋" w:hint="eastAsia"/>
                <w:sz w:val="24"/>
                <w:szCs w:val="24"/>
              </w:rPr>
              <w:t>技防</w:t>
            </w:r>
            <w:r w:rsidRPr="009B7C3D">
              <w:rPr>
                <w:rFonts w:ascii="仿宋" w:eastAsia="仿宋" w:hAnsi="仿宋"/>
                <w:sz w:val="24"/>
                <w:szCs w:val="24"/>
              </w:rPr>
              <w:t>信息化项目管理经验</w:t>
            </w:r>
            <w:r w:rsidR="009B7C3D">
              <w:rPr>
                <w:rFonts w:ascii="仿宋" w:eastAsia="仿宋" w:hAnsi="仿宋" w:hint="eastAsia"/>
                <w:sz w:val="24"/>
                <w:szCs w:val="24"/>
              </w:rPr>
              <w:t>，</w:t>
            </w:r>
            <w:r w:rsidRPr="009B7C3D">
              <w:rPr>
                <w:rFonts w:ascii="仿宋" w:eastAsia="仿宋" w:hAnsi="仿宋"/>
                <w:sz w:val="24"/>
                <w:szCs w:val="24"/>
              </w:rPr>
              <w:t>得 8 - 10 分；具备 3 - 5 年项目管理经验，</w:t>
            </w:r>
            <w:r w:rsidR="009B7C3D">
              <w:rPr>
                <w:rFonts w:ascii="仿宋" w:eastAsia="仿宋" w:hAnsi="仿宋" w:hint="eastAsia"/>
                <w:sz w:val="24"/>
                <w:szCs w:val="24"/>
              </w:rPr>
              <w:t>得</w:t>
            </w:r>
            <w:r w:rsidRPr="009B7C3D">
              <w:rPr>
                <w:rFonts w:ascii="仿宋" w:eastAsia="仿宋" w:hAnsi="仿宋"/>
                <w:sz w:val="24"/>
                <w:szCs w:val="24"/>
              </w:rPr>
              <w:t xml:space="preserve"> 5 - 7 分；经验不足 3 年得 0 - 4 分；2. 技术团队（5 分）：技术团队成员不少于 8 人，其中至少 3 人具备 3 年以上相关系统开发经验得 4 - 5 分；团队成员 5 - 7 人，至少 2 人具备 3 年以上开发经验得 2 - 3 分；团队规模或经验不足得 0 - 1 分。</w:t>
            </w:r>
          </w:p>
        </w:tc>
      </w:tr>
      <w:tr w:rsidR="00BC0128" w:rsidRPr="009B7C3D" w:rsidTr="009B7C3D">
        <w:tc>
          <w:tcPr>
            <w:tcW w:w="1276" w:type="dxa"/>
            <w:tcMar>
              <w:top w:w="60" w:type="dxa"/>
              <w:left w:w="120" w:type="dxa"/>
              <w:bottom w:w="30" w:type="dxa"/>
              <w:right w:w="120" w:type="dxa"/>
            </w:tcMar>
          </w:tcPr>
          <w:p w:rsidR="003D6EB1" w:rsidRPr="009B7C3D" w:rsidRDefault="009D5A59">
            <w:pPr>
              <w:pStyle w:val="20"/>
              <w:rPr>
                <w:rFonts w:ascii="仿宋" w:eastAsia="仿宋" w:hAnsi="仿宋"/>
                <w:sz w:val="24"/>
                <w:szCs w:val="24"/>
              </w:rPr>
            </w:pPr>
            <w:r w:rsidRPr="009B7C3D">
              <w:rPr>
                <w:rFonts w:ascii="仿宋" w:eastAsia="仿宋" w:hAnsi="仿宋"/>
                <w:sz w:val="24"/>
                <w:szCs w:val="24"/>
              </w:rPr>
              <w:t>售后服务</w:t>
            </w:r>
          </w:p>
        </w:tc>
        <w:tc>
          <w:tcPr>
            <w:tcW w:w="960" w:type="dxa"/>
            <w:tcMar>
              <w:top w:w="60" w:type="dxa"/>
              <w:left w:w="120" w:type="dxa"/>
              <w:bottom w:w="30" w:type="dxa"/>
              <w:right w:w="120" w:type="dxa"/>
            </w:tcMar>
          </w:tcPr>
          <w:p w:rsidR="003D6EB1" w:rsidRPr="009B7C3D" w:rsidRDefault="00682031">
            <w:pPr>
              <w:pStyle w:val="20"/>
              <w:rPr>
                <w:rFonts w:ascii="仿宋" w:eastAsia="仿宋" w:hAnsi="仿宋"/>
                <w:sz w:val="24"/>
                <w:szCs w:val="24"/>
              </w:rPr>
            </w:pPr>
            <w:r w:rsidRPr="009B7C3D">
              <w:rPr>
                <w:rFonts w:ascii="仿宋" w:eastAsia="仿宋" w:hAnsi="仿宋"/>
                <w:sz w:val="24"/>
                <w:szCs w:val="24"/>
              </w:rPr>
              <w:t>20</w:t>
            </w:r>
          </w:p>
        </w:tc>
        <w:tc>
          <w:tcPr>
            <w:tcW w:w="6113" w:type="dxa"/>
            <w:tcMar>
              <w:top w:w="60" w:type="dxa"/>
              <w:left w:w="120" w:type="dxa"/>
              <w:bottom w:w="30" w:type="dxa"/>
              <w:right w:w="120" w:type="dxa"/>
            </w:tcMar>
          </w:tcPr>
          <w:p w:rsidR="003D6EB1" w:rsidRPr="009B7C3D" w:rsidRDefault="009D5A59" w:rsidP="001844DB">
            <w:pPr>
              <w:pStyle w:val="20"/>
              <w:rPr>
                <w:rFonts w:ascii="仿宋" w:eastAsia="仿宋" w:hAnsi="仿宋"/>
                <w:sz w:val="24"/>
                <w:szCs w:val="24"/>
              </w:rPr>
            </w:pPr>
            <w:r w:rsidRPr="009B7C3D">
              <w:rPr>
                <w:rFonts w:ascii="仿宋" w:eastAsia="仿宋" w:hAnsi="仿宋"/>
                <w:sz w:val="24"/>
                <w:szCs w:val="24"/>
              </w:rPr>
              <w:t>1. 质保期（5 分）：提供至少</w:t>
            </w:r>
            <w:r w:rsidR="00682031" w:rsidRPr="009B7C3D">
              <w:rPr>
                <w:rFonts w:ascii="仿宋" w:eastAsia="仿宋" w:hAnsi="仿宋"/>
                <w:sz w:val="24"/>
                <w:szCs w:val="24"/>
              </w:rPr>
              <w:t>3</w:t>
            </w:r>
            <w:r w:rsidRPr="009B7C3D">
              <w:rPr>
                <w:rFonts w:ascii="仿宋" w:eastAsia="仿宋" w:hAnsi="仿宋"/>
                <w:sz w:val="24"/>
                <w:szCs w:val="24"/>
              </w:rPr>
              <w:t xml:space="preserve">年免费质保期得 5 分；提供 1 年免费质保期得 3 分；质保期不足 1 年得 0 分；2. 响应时间（5 分）：故障响应时间≤2 小时，解决问题时间≤24 小时（一般故障）、≤48 小时（重大故障）得 5 分；响应时间≤4 小时，解决问题时间≤48 小时（一般故障）、≤72 小时（重大故障）得 3 分；响应或解决时间超过上述标准得 0 分；3. 培训与维护（5 分）：提供至少 </w:t>
            </w:r>
            <w:r w:rsidR="001844DB">
              <w:rPr>
                <w:rFonts w:ascii="仿宋" w:eastAsia="仿宋" w:hAnsi="仿宋"/>
                <w:sz w:val="24"/>
                <w:szCs w:val="24"/>
              </w:rPr>
              <w:t>2</w:t>
            </w:r>
            <w:r w:rsidRPr="009B7C3D">
              <w:rPr>
                <w:rFonts w:ascii="仿宋" w:eastAsia="仿宋" w:hAnsi="仿宋"/>
                <w:sz w:val="24"/>
                <w:szCs w:val="24"/>
              </w:rPr>
              <w:t xml:space="preserve"> 次现场培训，定期（每季度 1 次）上门巡检维护得 5 分；提供 1 - 2 次现场培训，不定期巡检维护得 3 分；仅提供远程培训与维护得 1 分。</w:t>
            </w:r>
          </w:p>
        </w:tc>
      </w:tr>
      <w:tr w:rsidR="00BC0128" w:rsidRPr="009B7C3D" w:rsidTr="009B7C3D">
        <w:tc>
          <w:tcPr>
            <w:tcW w:w="1276" w:type="dxa"/>
            <w:tcMar>
              <w:top w:w="60" w:type="dxa"/>
              <w:left w:w="120" w:type="dxa"/>
              <w:bottom w:w="30" w:type="dxa"/>
              <w:right w:w="120" w:type="dxa"/>
            </w:tcMar>
          </w:tcPr>
          <w:p w:rsidR="003D6EB1" w:rsidRPr="009B7C3D" w:rsidRDefault="009D5A59">
            <w:pPr>
              <w:pStyle w:val="20"/>
              <w:rPr>
                <w:rFonts w:ascii="仿宋" w:eastAsia="仿宋" w:hAnsi="仿宋"/>
                <w:sz w:val="24"/>
                <w:szCs w:val="24"/>
              </w:rPr>
            </w:pPr>
            <w:r w:rsidRPr="009B7C3D">
              <w:rPr>
                <w:rFonts w:ascii="仿宋" w:eastAsia="仿宋" w:hAnsi="仿宋"/>
                <w:sz w:val="24"/>
                <w:szCs w:val="24"/>
              </w:rPr>
              <w:t>报价</w:t>
            </w:r>
          </w:p>
        </w:tc>
        <w:tc>
          <w:tcPr>
            <w:tcW w:w="960" w:type="dxa"/>
            <w:tcMar>
              <w:top w:w="60" w:type="dxa"/>
              <w:left w:w="120" w:type="dxa"/>
              <w:bottom w:w="30" w:type="dxa"/>
              <w:right w:w="120" w:type="dxa"/>
            </w:tcMar>
          </w:tcPr>
          <w:p w:rsidR="003D6EB1" w:rsidRPr="009B7C3D" w:rsidRDefault="00682031">
            <w:pPr>
              <w:pStyle w:val="20"/>
              <w:rPr>
                <w:rFonts w:ascii="仿宋" w:eastAsia="仿宋" w:hAnsi="仿宋"/>
                <w:sz w:val="24"/>
                <w:szCs w:val="24"/>
              </w:rPr>
            </w:pPr>
            <w:r w:rsidRPr="009B7C3D">
              <w:rPr>
                <w:rFonts w:ascii="仿宋" w:eastAsia="仿宋" w:hAnsi="仿宋"/>
                <w:sz w:val="24"/>
                <w:szCs w:val="24"/>
              </w:rPr>
              <w:t>30</w:t>
            </w:r>
          </w:p>
        </w:tc>
        <w:tc>
          <w:tcPr>
            <w:tcW w:w="6113" w:type="dxa"/>
            <w:tcMar>
              <w:top w:w="60" w:type="dxa"/>
              <w:left w:w="120" w:type="dxa"/>
              <w:bottom w:w="30" w:type="dxa"/>
              <w:right w:w="120" w:type="dxa"/>
            </w:tcMar>
          </w:tcPr>
          <w:p w:rsidR="003D6EB1" w:rsidRPr="009B7C3D" w:rsidRDefault="009D5A59" w:rsidP="009D5A59">
            <w:pPr>
              <w:pStyle w:val="20"/>
              <w:rPr>
                <w:rFonts w:ascii="仿宋" w:eastAsia="仿宋" w:hAnsi="仿宋"/>
                <w:sz w:val="24"/>
                <w:szCs w:val="24"/>
              </w:rPr>
            </w:pPr>
            <w:r>
              <w:rPr>
                <w:rFonts w:ascii="仿宋" w:eastAsia="仿宋" w:hAnsi="仿宋" w:hint="eastAsia"/>
                <w:sz w:val="24"/>
                <w:szCs w:val="24"/>
              </w:rPr>
              <w:t>各投标人得分=最低价</w:t>
            </w:r>
            <w:r>
              <w:rPr>
                <w:rFonts w:ascii="仿宋" w:eastAsia="仿宋" w:hAnsi="仿宋"/>
                <w:sz w:val="24"/>
                <w:szCs w:val="24"/>
              </w:rPr>
              <w:t>/</w:t>
            </w:r>
            <w:r>
              <w:rPr>
                <w:rFonts w:ascii="仿宋" w:eastAsia="仿宋" w:hAnsi="仿宋" w:hint="eastAsia"/>
                <w:sz w:val="24"/>
                <w:szCs w:val="24"/>
              </w:rPr>
              <w:t>投标人的报价*</w:t>
            </w:r>
            <w:r>
              <w:rPr>
                <w:rFonts w:ascii="仿宋" w:eastAsia="仿宋" w:hAnsi="仿宋"/>
                <w:sz w:val="24"/>
                <w:szCs w:val="24"/>
              </w:rPr>
              <w:t>30</w:t>
            </w:r>
            <w:r w:rsidRPr="009B7C3D">
              <w:rPr>
                <w:rFonts w:ascii="仿宋" w:eastAsia="仿宋" w:hAnsi="仿宋"/>
                <w:sz w:val="24"/>
                <w:szCs w:val="24"/>
              </w:rPr>
              <w:t xml:space="preserve"> </w:t>
            </w:r>
          </w:p>
        </w:tc>
      </w:tr>
    </w:tbl>
    <w:p w:rsidR="009D5A59" w:rsidRDefault="009D5A59" w:rsidP="009D5A59">
      <w:pPr>
        <w:pStyle w:val="2"/>
        <w:rPr>
          <w:rFonts w:ascii="仿宋" w:eastAsia="仿宋" w:hAnsi="仿宋"/>
          <w:sz w:val="28"/>
          <w:szCs w:val="28"/>
        </w:rPr>
      </w:pPr>
    </w:p>
    <w:p w:rsidR="009D5A59" w:rsidRDefault="009D5A59" w:rsidP="009D5A59">
      <w:pPr>
        <w:pStyle w:val="2"/>
        <w:rPr>
          <w:rFonts w:ascii="仿宋" w:eastAsia="仿宋" w:hAnsi="仿宋"/>
          <w:sz w:val="28"/>
          <w:szCs w:val="28"/>
        </w:rPr>
      </w:pPr>
    </w:p>
    <w:p w:rsidR="009D5A59" w:rsidRDefault="009D5A59" w:rsidP="009D5A59">
      <w:pPr>
        <w:pStyle w:val="2"/>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保卫工作部（处）</w:t>
      </w:r>
    </w:p>
    <w:p w:rsidR="009D5A59" w:rsidRPr="009D5A59" w:rsidRDefault="009D5A59" w:rsidP="009D5A59">
      <w:pPr>
        <w:pStyle w:val="2"/>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2025</w:t>
      </w:r>
      <w:r>
        <w:rPr>
          <w:rFonts w:ascii="仿宋" w:eastAsia="仿宋" w:hAnsi="仿宋" w:hint="eastAsia"/>
          <w:sz w:val="28"/>
          <w:szCs w:val="28"/>
        </w:rPr>
        <w:t>年9月</w:t>
      </w:r>
      <w:r w:rsidR="001844DB">
        <w:rPr>
          <w:rFonts w:ascii="仿宋" w:eastAsia="仿宋" w:hAnsi="仿宋" w:hint="eastAsia"/>
          <w:sz w:val="28"/>
          <w:szCs w:val="28"/>
        </w:rPr>
        <w:t>9日</w:t>
      </w:r>
      <w:r>
        <w:rPr>
          <w:rFonts w:ascii="仿宋" w:eastAsia="仿宋" w:hAnsi="仿宋"/>
          <w:sz w:val="28"/>
          <w:szCs w:val="28"/>
        </w:rPr>
        <w:t xml:space="preserve"> </w:t>
      </w:r>
    </w:p>
    <w:sectPr w:rsidR="009D5A59" w:rsidRPr="009D5A5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28" w:rsidRDefault="00EF2528" w:rsidP="00DA2F3C">
      <w:r>
        <w:separator/>
      </w:r>
    </w:p>
  </w:endnote>
  <w:endnote w:type="continuationSeparator" w:id="0">
    <w:p w:rsidR="00EF2528" w:rsidRDefault="00EF2528" w:rsidP="00DA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28" w:rsidRDefault="00EF2528" w:rsidP="00DA2F3C">
      <w:r>
        <w:separator/>
      </w:r>
    </w:p>
  </w:footnote>
  <w:footnote w:type="continuationSeparator" w:id="0">
    <w:p w:rsidR="00EF2528" w:rsidRDefault="00EF2528" w:rsidP="00DA2F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863"/>
    <w:multiLevelType w:val="hybridMultilevel"/>
    <w:tmpl w:val="29FADD44"/>
    <w:lvl w:ilvl="0" w:tplc="27E601E2">
      <w:start w:val="1"/>
      <w:numFmt w:val="bullet"/>
      <w:lvlText w:val="●"/>
      <w:lvlJc w:val="left"/>
      <w:pPr>
        <w:ind w:left="720" w:hanging="360"/>
      </w:pPr>
    </w:lvl>
    <w:lvl w:ilvl="1" w:tplc="B8FA051C">
      <w:start w:val="1"/>
      <w:numFmt w:val="bullet"/>
      <w:lvlText w:val="○"/>
      <w:lvlJc w:val="left"/>
      <w:pPr>
        <w:ind w:left="1440" w:hanging="360"/>
      </w:pPr>
    </w:lvl>
    <w:lvl w:ilvl="2" w:tplc="56D454DC">
      <w:start w:val="1"/>
      <w:numFmt w:val="bullet"/>
      <w:lvlText w:val="■"/>
      <w:lvlJc w:val="left"/>
      <w:pPr>
        <w:ind w:left="2160" w:hanging="360"/>
      </w:pPr>
    </w:lvl>
    <w:lvl w:ilvl="3" w:tplc="DC182410">
      <w:start w:val="1"/>
      <w:numFmt w:val="bullet"/>
      <w:lvlText w:val="●"/>
      <w:lvlJc w:val="left"/>
      <w:pPr>
        <w:ind w:left="2880" w:hanging="360"/>
      </w:pPr>
    </w:lvl>
    <w:lvl w:ilvl="4" w:tplc="070808C2">
      <w:start w:val="1"/>
      <w:numFmt w:val="bullet"/>
      <w:lvlText w:val="○"/>
      <w:lvlJc w:val="left"/>
      <w:pPr>
        <w:ind w:left="3600" w:hanging="360"/>
      </w:pPr>
    </w:lvl>
    <w:lvl w:ilvl="5" w:tplc="5C7A37A8">
      <w:start w:val="1"/>
      <w:numFmt w:val="bullet"/>
      <w:lvlText w:val="■"/>
      <w:lvlJc w:val="left"/>
      <w:pPr>
        <w:ind w:left="4320" w:hanging="360"/>
      </w:pPr>
    </w:lvl>
    <w:lvl w:ilvl="6" w:tplc="71E6227C">
      <w:start w:val="1"/>
      <w:numFmt w:val="bullet"/>
      <w:lvlText w:val="●"/>
      <w:lvlJc w:val="left"/>
      <w:pPr>
        <w:ind w:left="5040" w:hanging="360"/>
      </w:pPr>
    </w:lvl>
    <w:lvl w:ilvl="7" w:tplc="728E0F7C">
      <w:start w:val="1"/>
      <w:numFmt w:val="bullet"/>
      <w:lvlText w:val="●"/>
      <w:lvlJc w:val="left"/>
      <w:pPr>
        <w:ind w:left="5760" w:hanging="360"/>
      </w:pPr>
    </w:lvl>
    <w:lvl w:ilvl="8" w:tplc="7BFA9F2E">
      <w:start w:val="1"/>
      <w:numFmt w:val="bullet"/>
      <w:lvlText w:val="●"/>
      <w:lvlJc w:val="left"/>
      <w:pPr>
        <w:ind w:left="6480" w:hanging="360"/>
      </w:pPr>
    </w:lvl>
  </w:abstractNum>
  <w:abstractNum w:abstractNumId="1" w15:restartNumberingAfterBreak="0">
    <w:nsid w:val="55A14B03"/>
    <w:multiLevelType w:val="multilevel"/>
    <w:tmpl w:val="0BBCA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B1"/>
    <w:rsid w:val="001844DB"/>
    <w:rsid w:val="003D6EB1"/>
    <w:rsid w:val="00682031"/>
    <w:rsid w:val="009B7C3D"/>
    <w:rsid w:val="009D5A59"/>
    <w:rsid w:val="00BC0128"/>
    <w:rsid w:val="00DA2F3C"/>
    <w:rsid w:val="00EF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1EF68-2EA2-4CBE-AA32-25EEC63B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qFormat/>
    <w:pPr>
      <w:spacing w:before="380" w:after="140" w:line="288" w:lineRule="auto"/>
      <w:outlineLvl w:val="0"/>
    </w:pPr>
    <w:rPr>
      <w:rFonts w:ascii="Arial" w:eastAsia="等线" w:hAnsi="Arial" w:cs="Arial"/>
      <w:b/>
      <w:bCs/>
      <w:sz w:val="36"/>
      <w:szCs w:val="36"/>
    </w:rPr>
  </w:style>
  <w:style w:type="paragraph" w:styleId="2">
    <w:name w:val="heading 2"/>
    <w:qFormat/>
    <w:pPr>
      <w:spacing w:before="320" w:after="120" w:line="288" w:lineRule="auto"/>
      <w:outlineLvl w:val="1"/>
    </w:pPr>
    <w:rPr>
      <w:rFonts w:ascii="Arial" w:eastAsia="等线" w:hAnsi="Arial" w:cs="Arial"/>
      <w:b/>
      <w:bCs/>
      <w:sz w:val="32"/>
      <w:szCs w:val="32"/>
    </w:rPr>
  </w:style>
  <w:style w:type="paragraph" w:styleId="3">
    <w:name w:val="heading 3"/>
    <w:qFormat/>
    <w:pPr>
      <w:spacing w:before="300" w:after="120" w:line="288" w:lineRule="auto"/>
      <w:outlineLvl w:val="2"/>
    </w:pPr>
    <w:rPr>
      <w:rFonts w:ascii="Arial" w:eastAsia="等线" w:hAnsi="Arial" w:cs="Arial"/>
      <w:b/>
      <w:bCs/>
      <w:sz w:val="30"/>
      <w:szCs w:val="30"/>
    </w:rPr>
  </w:style>
  <w:style w:type="paragraph" w:styleId="4">
    <w:name w:val="heading 4"/>
    <w:qFormat/>
    <w:pPr>
      <w:spacing w:before="260" w:after="120" w:line="288" w:lineRule="auto"/>
      <w:outlineLvl w:val="3"/>
    </w:pPr>
    <w:rPr>
      <w:rFonts w:ascii="Arial" w:eastAsia="等线" w:hAnsi="Arial" w:cs="Arial"/>
      <w:b/>
      <w:bCs/>
      <w:sz w:val="28"/>
      <w:szCs w:val="28"/>
    </w:rPr>
  </w:style>
  <w:style w:type="paragraph" w:styleId="5">
    <w:name w:val="heading 5"/>
    <w:qFormat/>
    <w:pPr>
      <w:spacing w:before="240" w:after="120" w:line="288" w:lineRule="auto"/>
      <w:outlineLvl w:val="4"/>
    </w:pPr>
    <w:rPr>
      <w:rFonts w:ascii="Arial" w:eastAsia="等线" w:hAnsi="Arial" w:cs="Arial"/>
      <w:b/>
      <w:bCs/>
      <w:sz w:val="24"/>
      <w:szCs w:val="24"/>
    </w:rPr>
  </w:style>
  <w:style w:type="paragraph" w:styleId="6">
    <w:name w:val="heading 6"/>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pPr>
      <w:spacing w:before="480" w:after="480" w:line="288" w:lineRule="auto"/>
    </w:pPr>
    <w:rPr>
      <w:rFonts w:ascii="Arial" w:eastAsia="等线" w:hAnsi="Arial" w:cs="Arial"/>
      <w:b/>
      <w:bCs/>
      <w:sz w:val="52"/>
      <w:szCs w:val="52"/>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customStyle="1" w:styleId="20">
    <w:name w:val="2"/>
    <w:pPr>
      <w:spacing w:before="120" w:after="120" w:line="288" w:lineRule="auto"/>
    </w:pPr>
    <w:rPr>
      <w:rFonts w:ascii="Arial" w:eastAsia="等线" w:hAnsi="Arial" w:cs="Arial"/>
      <w:sz w:val="22"/>
      <w:szCs w:val="22"/>
    </w:rPr>
  </w:style>
  <w:style w:type="paragraph" w:customStyle="1" w:styleId="11">
    <w:name w:val="1"/>
    <w:pPr>
      <w:spacing w:before="120" w:after="120" w:line="288" w:lineRule="auto"/>
    </w:pPr>
    <w:rPr>
      <w:rFonts w:ascii="Arial" w:eastAsia="等线" w:hAnsi="Arial" w:cs="Arial"/>
      <w:color w:val="8F959E"/>
      <w:sz w:val="22"/>
      <w:szCs w:val="22"/>
    </w:rPr>
  </w:style>
  <w:style w:type="paragraph" w:styleId="a9">
    <w:name w:val="header"/>
    <w:basedOn w:val="a"/>
    <w:link w:val="aa"/>
    <w:uiPriority w:val="99"/>
    <w:unhideWhenUsed/>
    <w:rsid w:val="00DA2F3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A2F3C"/>
    <w:rPr>
      <w:sz w:val="18"/>
      <w:szCs w:val="18"/>
    </w:rPr>
  </w:style>
  <w:style w:type="paragraph" w:styleId="ab">
    <w:name w:val="footer"/>
    <w:basedOn w:val="a"/>
    <w:link w:val="ac"/>
    <w:uiPriority w:val="99"/>
    <w:unhideWhenUsed/>
    <w:rsid w:val="00DA2F3C"/>
    <w:pPr>
      <w:tabs>
        <w:tab w:val="center" w:pos="4153"/>
        <w:tab w:val="right" w:pos="8306"/>
      </w:tabs>
      <w:snapToGrid w:val="0"/>
      <w:jc w:val="left"/>
    </w:pPr>
    <w:rPr>
      <w:sz w:val="18"/>
      <w:szCs w:val="18"/>
    </w:rPr>
  </w:style>
  <w:style w:type="character" w:customStyle="1" w:styleId="ac">
    <w:name w:val="页脚 字符"/>
    <w:basedOn w:val="a0"/>
    <w:link w:val="ab"/>
    <w:uiPriority w:val="99"/>
    <w:rsid w:val="00DA2F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3C8A-BECA-451E-BD2A-26581761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薛惠明</cp:lastModifiedBy>
  <cp:revision>3</cp:revision>
  <dcterms:created xsi:type="dcterms:W3CDTF">2025-09-09T08:16:00Z</dcterms:created>
  <dcterms:modified xsi:type="dcterms:W3CDTF">2025-09-10T00:12:00Z</dcterms:modified>
</cp:coreProperties>
</file>